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附件2 </w:t>
      </w:r>
    </w:p>
    <w:p>
      <w:pPr>
        <w:snapToGrid w:val="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新乡医学院三全学院</w:t>
      </w:r>
    </w:p>
    <w:p>
      <w:pPr>
        <w:snapToGrid w:val="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20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宋体" w:eastAsia="方正小标宋简体"/>
          <w:sz w:val="44"/>
          <w:szCs w:val="44"/>
        </w:rPr>
        <w:t>学年第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宋体" w:eastAsia="方正小标宋简体"/>
          <w:sz w:val="44"/>
          <w:szCs w:val="44"/>
        </w:rPr>
        <w:t>学期期中教学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检查</w:t>
      </w:r>
      <w:r>
        <w:rPr>
          <w:rFonts w:hint="eastAsia" w:ascii="方正小标宋简体" w:hAnsi="宋体" w:eastAsia="方正小标宋简体"/>
          <w:sz w:val="44"/>
          <w:szCs w:val="44"/>
        </w:rPr>
        <w:t>表</w:t>
      </w:r>
    </w:p>
    <w:p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教学单位：                              教研室</w:t>
      </w:r>
      <w:r>
        <w:rPr>
          <w:rFonts w:ascii="宋体" w:hAnsi="宋体"/>
          <w:b/>
          <w:sz w:val="28"/>
          <w:szCs w:val="28"/>
        </w:rPr>
        <w:t>：</w:t>
      </w:r>
    </w:p>
    <w:tbl>
      <w:tblPr>
        <w:tblStyle w:val="4"/>
        <w:tblW w:w="10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9"/>
        <w:gridCol w:w="5917"/>
        <w:gridCol w:w="827"/>
        <w:gridCol w:w="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Cs w:val="21"/>
                <w:lang w:bidi="ar"/>
              </w:rPr>
              <w:t>评价项目</w:t>
            </w:r>
          </w:p>
        </w:tc>
        <w:tc>
          <w:tcPr>
            <w:tcW w:w="5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Cs w:val="21"/>
                <w:lang w:bidi="ar"/>
              </w:rPr>
              <w:t>支撑材料</w:t>
            </w:r>
          </w:p>
        </w:tc>
        <w:tc>
          <w:tcPr>
            <w:tcW w:w="8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Cs w:val="21"/>
                <w:lang w:bidi="ar"/>
              </w:rPr>
              <w:t>分值</w:t>
            </w:r>
          </w:p>
        </w:tc>
        <w:tc>
          <w:tcPr>
            <w:tcW w:w="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Cs w:val="21"/>
                <w:lang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749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 w:bidi="ar"/>
              </w:rPr>
              <w:t>一、教学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运行管理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 w:bidi="ar"/>
              </w:rPr>
              <w:t>情况</w:t>
            </w:r>
          </w:p>
        </w:tc>
        <w:tc>
          <w:tcPr>
            <w:tcW w:w="591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教学任务的安排及落实情况（教学大纲、课程表、教学日历执行情况）；调停课记录；教材申报选用情况，教师主持编写教材情况、教学事故处理记录。</w:t>
            </w:r>
          </w:p>
        </w:tc>
        <w:tc>
          <w:tcPr>
            <w:tcW w:w="8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04" w:type="dxa"/>
            <w:vAlign w:val="center"/>
          </w:tcPr>
          <w:p>
            <w:pPr>
              <w:ind w:firstLine="482" w:firstLineChars="0"/>
              <w:jc w:val="center"/>
              <w:rPr>
                <w:rFonts w:ascii="仿宋_GB2312" w:hAnsi="宋体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二、教学活动开展情况</w:t>
            </w:r>
          </w:p>
        </w:tc>
        <w:tc>
          <w:tcPr>
            <w:tcW w:w="59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预试讲工作流程及详细记录，教学活动计划、开展记录、调整记录、教学方法研究、交流及培训记录、优秀教学活动校内外交流、分享记录。</w:t>
            </w:r>
          </w:p>
        </w:tc>
        <w:tc>
          <w:tcPr>
            <w:tcW w:w="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三、教学资源建设情况</w:t>
            </w:r>
          </w:p>
        </w:tc>
        <w:tc>
          <w:tcPr>
            <w:tcW w:w="59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教学网络平台建设及运行情况（建设进度、平台资源内容、学生使用情况、学习成效）</w:t>
            </w:r>
          </w:p>
        </w:tc>
        <w:tc>
          <w:tcPr>
            <w:tcW w:w="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49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四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 w:bidi="ar"/>
              </w:rPr>
              <w:t>、教学质量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监控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 w:bidi="ar"/>
              </w:rPr>
              <w:t>情况</w:t>
            </w:r>
          </w:p>
        </w:tc>
        <w:tc>
          <w:tcPr>
            <w:tcW w:w="591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教学巡查情况（包含本学期教学巡查值班表，执行记录及整改记录等）。</w:t>
            </w:r>
          </w:p>
        </w:tc>
        <w:tc>
          <w:tcPr>
            <w:tcW w:w="8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49" w:type="dxa"/>
            <w:vMerge w:val="continue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591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加强教风、学风、考风建设管理的举措、实施记录及成效。</w:t>
            </w:r>
          </w:p>
        </w:tc>
        <w:tc>
          <w:tcPr>
            <w:tcW w:w="8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749" w:type="dxa"/>
            <w:vMerge w:val="continue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591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教案及听课情况（包含领导、督导、同行、个人）。</w:t>
            </w:r>
          </w:p>
        </w:tc>
        <w:tc>
          <w:tcPr>
            <w:tcW w:w="8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749" w:type="dxa"/>
            <w:vMerge w:val="continue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591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教师、学生座谈会召开情况（详细原始性记录、整改记录），上学期座谈会存在问题及整改记录。</w:t>
            </w:r>
          </w:p>
        </w:tc>
        <w:tc>
          <w:tcPr>
            <w:tcW w:w="8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749" w:type="dxa"/>
            <w:vMerge w:val="continue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591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实验报告统一标准批改（10分制），毕业设计（论文）任务书、开题报告、答辩、成绩评定表、结题、毕业论文等；专业技能考核情况。</w:t>
            </w:r>
          </w:p>
        </w:tc>
        <w:tc>
          <w:tcPr>
            <w:tcW w:w="8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04" w:type="dxa"/>
            <w:vAlign w:val="center"/>
          </w:tcPr>
          <w:p>
            <w:pPr>
              <w:ind w:firstLine="482" w:firstLineChars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749" w:type="dxa"/>
            <w:vMerge w:val="continue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591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质量监控发现问题的梳理汇总、反馈和整改情况。（包含本学期日常、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 w:bidi="ar"/>
              </w:rPr>
              <w:t>上学期期中教学检查整改落实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两部分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）。</w:t>
            </w:r>
          </w:p>
        </w:tc>
        <w:tc>
          <w:tcPr>
            <w:tcW w:w="8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704" w:type="dxa"/>
            <w:vAlign w:val="center"/>
          </w:tcPr>
          <w:p>
            <w:pPr>
              <w:ind w:firstLine="482" w:firstLineChars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749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五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考务管理情况</w:t>
            </w:r>
          </w:p>
        </w:tc>
        <w:tc>
          <w:tcPr>
            <w:tcW w:w="591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试卷命题（查重情况）、试卷试做、试卷批改、试卷归档、试卷分析及改进措施情况。</w:t>
            </w:r>
          </w:p>
        </w:tc>
        <w:tc>
          <w:tcPr>
            <w:tcW w:w="8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704" w:type="dxa"/>
            <w:vAlign w:val="center"/>
          </w:tcPr>
          <w:p>
            <w:pPr>
              <w:ind w:firstLine="482" w:firstLineChars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749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六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教学档案管理情况</w:t>
            </w:r>
          </w:p>
        </w:tc>
        <w:tc>
          <w:tcPr>
            <w:tcW w:w="5917" w:type="dxa"/>
            <w:vAlign w:val="center"/>
          </w:tcPr>
          <w:p>
            <w:pPr>
              <w:widowControl/>
              <w:textAlignment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按照《新乡医学院三全学院教学档案管理办法》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 w:bidi="ar"/>
              </w:rPr>
              <w:t>要求，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规范整理，条目清晰。</w:t>
            </w:r>
          </w:p>
        </w:tc>
        <w:tc>
          <w:tcPr>
            <w:tcW w:w="8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04" w:type="dxa"/>
            <w:vAlign w:val="center"/>
          </w:tcPr>
          <w:p>
            <w:pPr>
              <w:ind w:firstLine="482" w:firstLineChars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10197" w:type="dxa"/>
            <w:gridSpan w:val="4"/>
          </w:tcPr>
          <w:p>
            <w:pPr>
              <w:jc w:val="left"/>
              <w:rPr>
                <w:rFonts w:ascii="仿宋_GB2312" w:hAnsi="宋体" w:eastAsia="仿宋_GB2312" w:cs="仿宋_GB2312"/>
                <w:b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szCs w:val="21"/>
              </w:rPr>
              <w:t>意见与建议：</w:t>
            </w:r>
          </w:p>
          <w:p>
            <w:pPr>
              <w:jc w:val="left"/>
              <w:rPr>
                <w:rFonts w:ascii="仿宋_GB2312" w:hAnsi="宋体" w:eastAsia="仿宋_GB2312" w:cs="仿宋_GB2312"/>
                <w:b/>
                <w:szCs w:val="21"/>
              </w:rPr>
            </w:pPr>
            <w:bookmarkStart w:id="0" w:name="_GoBack"/>
            <w:bookmarkEnd w:id="0"/>
          </w:p>
          <w:p>
            <w:pPr>
              <w:jc w:val="left"/>
              <w:rPr>
                <w:rFonts w:ascii="仿宋_GB2312" w:hAnsi="宋体" w:eastAsia="仿宋_GB2312" w:cs="仿宋_GB2312"/>
                <w:b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 w:cs="仿宋_GB2312"/>
                <w:b/>
                <w:szCs w:val="21"/>
              </w:rPr>
            </w:pPr>
          </w:p>
          <w:p>
            <w:pPr>
              <w:jc w:val="left"/>
            </w:pPr>
          </w:p>
        </w:tc>
      </w:tr>
    </w:tbl>
    <w:p>
      <w:pPr>
        <w:rPr>
          <w:rFonts w:hint="eastAsia" w:ascii="方正小标宋简体" w:hAnsi="宋体" w:eastAsia="方正小标宋简体"/>
          <w:sz w:val="44"/>
          <w:szCs w:val="44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宋体" w:hAnsi="宋体"/>
          <w:b/>
          <w:sz w:val="28"/>
          <w:szCs w:val="28"/>
        </w:rPr>
        <w:t>检查人：</w:t>
      </w:r>
    </w:p>
    <w:p>
      <w:pPr>
        <w:tabs>
          <w:tab w:val="left" w:pos="5880"/>
          <w:tab w:val="left" w:pos="6090"/>
        </w:tabs>
        <w:snapToGrid w:val="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新乡医学院三全学院</w:t>
      </w:r>
    </w:p>
    <w:p>
      <w:pPr>
        <w:snapToGrid w:val="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20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宋体" w:eastAsia="方正小标宋简体"/>
          <w:sz w:val="44"/>
          <w:szCs w:val="44"/>
        </w:rPr>
        <w:t>学年第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宋体" w:eastAsia="方正小标宋简体"/>
          <w:sz w:val="44"/>
          <w:szCs w:val="44"/>
        </w:rPr>
        <w:t>学期期中教学检查表</w:t>
      </w:r>
    </w:p>
    <w:p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教学单位：                            实验室</w:t>
      </w:r>
      <w:r>
        <w:rPr>
          <w:rFonts w:ascii="宋体" w:hAnsi="宋体"/>
          <w:b/>
          <w:sz w:val="28"/>
          <w:szCs w:val="28"/>
        </w:rPr>
        <w:t>：</w:t>
      </w:r>
      <w:r>
        <w:rPr>
          <w:rFonts w:hint="eastAsia" w:ascii="宋体" w:hAnsi="宋体"/>
          <w:b/>
          <w:sz w:val="28"/>
          <w:szCs w:val="28"/>
        </w:rPr>
        <w:t xml:space="preserve">  </w:t>
      </w:r>
    </w:p>
    <w:tbl>
      <w:tblPr>
        <w:tblStyle w:val="4"/>
        <w:tblW w:w="10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2"/>
        <w:gridCol w:w="5251"/>
        <w:gridCol w:w="738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35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评价项目</w:t>
            </w:r>
          </w:p>
        </w:tc>
        <w:tc>
          <w:tcPr>
            <w:tcW w:w="52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支撑</w:t>
            </w:r>
            <w:r>
              <w:rPr>
                <w:rFonts w:ascii="仿宋_GB2312" w:hAnsi="仿宋_GB2312" w:eastAsia="仿宋_GB2312" w:cs="仿宋_GB2312"/>
                <w:b/>
                <w:bCs/>
                <w:szCs w:val="21"/>
              </w:rPr>
              <w:t>材料</w:t>
            </w:r>
          </w:p>
        </w:tc>
        <w:tc>
          <w:tcPr>
            <w:tcW w:w="7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分值</w:t>
            </w:r>
          </w:p>
        </w:tc>
        <w:tc>
          <w:tcPr>
            <w:tcW w:w="10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3542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一、规范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实验室安全</w:t>
            </w:r>
            <w:r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</w:rPr>
              <w:t>管理</w:t>
            </w:r>
          </w:p>
        </w:tc>
        <w:tc>
          <w:tcPr>
            <w:tcW w:w="525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1.安全组织体系的建设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落实情况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(含实验室安全组织机构和安全责任体系等)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。</w:t>
            </w:r>
          </w:p>
        </w:tc>
        <w:tc>
          <w:tcPr>
            <w:tcW w:w="7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542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525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2.安全管理制度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建设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及落实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情况。</w:t>
            </w:r>
          </w:p>
        </w:tc>
        <w:tc>
          <w:tcPr>
            <w:tcW w:w="7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3542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525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3.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实验室安全文化的建设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和环境卫生情况，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安全教育培训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、安全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检查整改落实情况。</w:t>
            </w:r>
          </w:p>
        </w:tc>
        <w:tc>
          <w:tcPr>
            <w:tcW w:w="7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3542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525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.危险化学品、病原微生物的管理情况。</w:t>
            </w:r>
          </w:p>
        </w:tc>
        <w:tc>
          <w:tcPr>
            <w:tcW w:w="7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542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、规范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实验室设备及耗材</w:t>
            </w:r>
            <w:r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</w:rPr>
              <w:t>管理</w:t>
            </w:r>
          </w:p>
        </w:tc>
        <w:tc>
          <w:tcPr>
            <w:tcW w:w="5251" w:type="dxa"/>
            <w:vAlign w:val="top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1.实验设备管理情况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（详细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使用及维修记录；特种设备、精密仪器、涉及危险实验操作的设备规范操作上墙情况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等）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。</w:t>
            </w:r>
          </w:p>
        </w:tc>
        <w:tc>
          <w:tcPr>
            <w:tcW w:w="7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0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3542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5251" w:type="dxa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2.实验室试剂耗材分类管理情况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耗材出入库、</w:t>
            </w:r>
            <w:r>
              <w:rPr>
                <w:rFonts w:hint="eastAsia" w:eastAsia="仿宋_GB2312" w:cs="仿宋_GB2312"/>
                <w:bCs/>
                <w:color w:val="auto"/>
                <w:sz w:val="24"/>
                <w:szCs w:val="24"/>
              </w:rPr>
              <w:t>盘库记录，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“三废”的回收、处置记录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等。</w:t>
            </w:r>
          </w:p>
        </w:tc>
        <w:tc>
          <w:tcPr>
            <w:tcW w:w="7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0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542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5251" w:type="dxa"/>
            <w:vAlign w:val="top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.实验准备清单落实情况。</w:t>
            </w:r>
          </w:p>
        </w:tc>
        <w:tc>
          <w:tcPr>
            <w:tcW w:w="7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0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542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、规范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实验室档案</w:t>
            </w:r>
            <w:r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</w:rPr>
              <w:t>管理</w:t>
            </w:r>
          </w:p>
        </w:tc>
        <w:tc>
          <w:tcPr>
            <w:tcW w:w="5251" w:type="dxa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按照《新乡医学院三全学院教学档案管理办法》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要求，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规范整理，条目清晰。</w:t>
            </w:r>
          </w:p>
        </w:tc>
        <w:tc>
          <w:tcPr>
            <w:tcW w:w="7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6" w:hRule="atLeast"/>
          <w:jc w:val="center"/>
        </w:trPr>
        <w:tc>
          <w:tcPr>
            <w:tcW w:w="10600" w:type="dxa"/>
            <w:gridSpan w:val="4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  <w:t>意见和建议：</w:t>
            </w: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/>
                <w:bCs/>
                <w:color w:val="auto"/>
                <w:szCs w:val="21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/>
                <w:bCs/>
                <w:color w:val="auto"/>
                <w:szCs w:val="21"/>
              </w:rPr>
            </w:pPr>
          </w:p>
          <w:p>
            <w:pPr>
              <w:adjustRightInd w:val="0"/>
              <w:snapToGrid w:val="0"/>
              <w:rPr>
                <w:rFonts w:hint="default" w:ascii="仿宋_GB2312" w:hAnsi="仿宋_GB2312" w:eastAsia="仿宋_GB2312" w:cs="仿宋_GB2312"/>
                <w:b/>
                <w:bCs/>
                <w:color w:val="auto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default" w:ascii="仿宋_GB2312" w:hAnsi="仿宋_GB2312" w:eastAsia="仿宋_GB2312" w:cs="仿宋_GB2312"/>
                <w:b/>
                <w:bCs/>
                <w:color w:val="auto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default" w:ascii="仿宋_GB2312" w:hAnsi="仿宋_GB2312" w:eastAsia="仿宋_GB2312" w:cs="仿宋_GB2312"/>
                <w:b/>
                <w:bCs/>
                <w:color w:val="auto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default" w:ascii="仿宋_GB2312" w:hAnsi="仿宋_GB2312" w:eastAsia="仿宋_GB2312" w:cs="仿宋_GB2312"/>
                <w:b/>
                <w:bCs/>
                <w:color w:val="auto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/>
                <w:bCs/>
                <w:color w:val="auto"/>
                <w:szCs w:val="21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/>
                <w:bCs/>
                <w:color w:val="auto"/>
                <w:szCs w:val="21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/>
                <w:bCs/>
                <w:color w:val="auto"/>
                <w:szCs w:val="21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/>
                <w:bCs/>
                <w:color w:val="auto"/>
                <w:szCs w:val="21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/>
                <w:bCs/>
                <w:color w:val="auto"/>
                <w:szCs w:val="21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</w:tr>
    </w:tbl>
    <w:p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检查人：</w:t>
      </w:r>
    </w:p>
    <w:p>
      <w:pPr>
        <w:rPr>
          <w:rFonts w:hint="eastAsia" w:ascii="宋体" w:hAnsi="宋体"/>
          <w:b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注：承担国际学生课程的除以上检查指标外，另需重点检查是否含有英文标识。</w:t>
      </w:r>
    </w:p>
    <w:p>
      <w:pPr>
        <w:snapToGrid w:val="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新乡医学院三全学院</w:t>
      </w:r>
    </w:p>
    <w:p>
      <w:pPr>
        <w:snapToGrid w:val="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20</w:t>
      </w:r>
      <w:r>
        <w:rPr>
          <w:rFonts w:hint="eastAsia" w:ascii="方正小标宋简体" w:hAnsi="宋体" w:eastAsia="方正小标宋简体"/>
          <w:sz w:val="44"/>
          <w:szCs w:val="44"/>
        </w:rPr>
        <w:t>-20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21</w:t>
      </w:r>
      <w:r>
        <w:rPr>
          <w:rFonts w:hint="eastAsia" w:ascii="方正小标宋简体" w:hAnsi="宋体" w:eastAsia="方正小标宋简体"/>
          <w:sz w:val="44"/>
          <w:szCs w:val="44"/>
        </w:rPr>
        <w:t>学年第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二</w:t>
      </w:r>
      <w:r>
        <w:rPr>
          <w:rFonts w:hint="eastAsia" w:ascii="方正小标宋简体" w:hAnsi="宋体" w:eastAsia="方正小标宋简体"/>
          <w:sz w:val="44"/>
          <w:szCs w:val="44"/>
        </w:rPr>
        <w:t>学期期中教学检查表</w:t>
      </w:r>
    </w:p>
    <w:p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全过程教学医院：                              </w:t>
      </w:r>
    </w:p>
    <w:tbl>
      <w:tblPr>
        <w:tblStyle w:val="4"/>
        <w:tblW w:w="10073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1"/>
        <w:gridCol w:w="6466"/>
        <w:gridCol w:w="585"/>
        <w:gridCol w:w="64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3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评价项目</w:t>
            </w:r>
          </w:p>
        </w:tc>
        <w:tc>
          <w:tcPr>
            <w:tcW w:w="64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支撑材料</w:t>
            </w:r>
          </w:p>
        </w:tc>
        <w:tc>
          <w:tcPr>
            <w:tcW w:w="5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6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23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一、学风、教风及考风建设</w:t>
            </w:r>
          </w:p>
        </w:tc>
        <w:tc>
          <w:tcPr>
            <w:tcW w:w="6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学风、教风及考风相关制度建设及文化宣传情况；领导重视情况。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23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二、教学任务安排执行情况</w:t>
            </w:r>
          </w:p>
        </w:tc>
        <w:tc>
          <w:tcPr>
            <w:tcW w:w="6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召开至少两次教学工作会议；依照教学任务，制定教学日历、课程表；依照见、实习大纲，安排学生见习、实习轮转计划。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  <w:jc w:val="center"/>
        </w:trPr>
        <w:tc>
          <w:tcPr>
            <w:tcW w:w="23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三、临床实践教学环节</w:t>
            </w:r>
          </w:p>
        </w:tc>
        <w:tc>
          <w:tcPr>
            <w:tcW w:w="64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、实习岗前培训；见、实习检查总结；教学及学生管理制度执行情况；实践教学活动（包括病例书写、教学查房、教学小讲座等）落实情况；临床技能操作专项训练的组织安排及考核情况（包括技能训练、技能培训、技能大赛及出科考核等）。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23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四、教学活动组织情况</w:t>
            </w:r>
          </w:p>
        </w:tc>
        <w:tc>
          <w:tcPr>
            <w:tcW w:w="6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各层次预试讲；教研室活动开展记录；集体备课；教师及学生座谈会；教学方法研究、学术交流及培训活动开展情况。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  <w:jc w:val="center"/>
        </w:trPr>
        <w:tc>
          <w:tcPr>
            <w:tcW w:w="23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五、教学质量监控情况</w:t>
            </w:r>
          </w:p>
        </w:tc>
        <w:tc>
          <w:tcPr>
            <w:tcW w:w="64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案撰写情况；院领导及教学管理人员教学巡查、督察情况；听课情况（包括领导听课、教学管理人员听课及同行听课）；二级督导工作记录（包括听课记录、督导总结、督导会议记录等）；学生评教及教师评学情况；优秀教师评选情况；年度教学质量监控问题、整改举措及成效总结。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23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六、考务管理情况</w:t>
            </w:r>
          </w:p>
        </w:tc>
        <w:tc>
          <w:tcPr>
            <w:tcW w:w="6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课程考核方案的执行情况；</w:t>
            </w:r>
            <w:r>
              <w:rPr>
                <w:rStyle w:val="6"/>
                <w:rFonts w:hAnsi="宋体"/>
                <w:lang w:val="en-US" w:eastAsia="zh-CN" w:bidi="ar"/>
              </w:rPr>
              <w:t>试卷批改及存档情况；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成绩分析</w:t>
            </w:r>
            <w:r>
              <w:rPr>
                <w:rStyle w:val="6"/>
                <w:rFonts w:hAnsi="宋体"/>
                <w:lang w:val="en-US" w:eastAsia="zh-CN" w:bidi="ar"/>
              </w:rPr>
              <w:t>及改进措施。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23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七、教学档案管理情况</w:t>
            </w:r>
          </w:p>
        </w:tc>
        <w:tc>
          <w:tcPr>
            <w:tcW w:w="6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按照《新乡医学院三全学院教学档案管理办法》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 w:bidi="ar"/>
              </w:rPr>
              <w:t>要求，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规范整理，条目清晰。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238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八、创新性亮点工作</w:t>
            </w:r>
          </w:p>
        </w:tc>
        <w:tc>
          <w:tcPr>
            <w:tcW w:w="646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医院在教学管理、教学质量提高方面的特色做法。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073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意见和建议：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07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07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07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07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07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07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tabs>
          <w:tab w:val="left" w:pos="5880"/>
          <w:tab w:val="left" w:pos="6090"/>
        </w:tabs>
        <w:snapToGrid w:val="0"/>
        <w:jc w:val="both"/>
      </w:pPr>
      <w:r>
        <w:rPr>
          <w:rFonts w:hint="eastAsia" w:ascii="宋体" w:hAnsi="宋体"/>
          <w:b/>
          <w:sz w:val="28"/>
          <w:szCs w:val="28"/>
        </w:rPr>
        <w:t>检查</w:t>
      </w:r>
      <w:r>
        <w:rPr>
          <w:rFonts w:hint="eastAsia" w:ascii="宋体" w:hAnsi="宋体"/>
          <w:b/>
          <w:sz w:val="28"/>
          <w:szCs w:val="28"/>
          <w:lang w:eastAsia="zh-CN"/>
        </w:rPr>
        <w:t>人：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-134620</wp:posOffset>
              </wp:positionV>
              <wp:extent cx="36449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449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1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.6pt;height:144pt;width:28.7pt;mso-position-horizontal:center;mso-position-horizontal-relative:margin;z-index:251659264;mso-width-relative:page;mso-height-relative:page;" filled="f" stroked="f" coordsize="21600,21600" o:gfxdata="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qLP+N9cAAAAHAQAADwAAAAAAAAABACAAAAAiAAAAZHJzL2Rvd25yZXYueG1s&#10;UEsBAhQAFAAAAAgAh07iQAr2w+YyAgAAVgQAAA4AAAAAAAAAAQAgAAAAJ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 w:cs="宋体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1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E6306"/>
    <w:rsid w:val="1E8D2440"/>
    <w:rsid w:val="445E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2021-04-26T03:31:00Z</dcterms:created>
  <dc:creator>西顾莹</dc:creator>
  <cp:lastModifiedBy>西顾莹</cp:lastModifiedBy>
  <dcterms:modified xsi:type="dcterms:W3CDTF">2021-04-26T06:56:20Z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E8E186C7F7F545A79CECC6C3D3F4D2B0</vt:lpwstr>
  </property>
</Properties>
</file>